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9C47" w14:textId="749E333F" w:rsidR="00E95118" w:rsidRPr="002F3C06" w:rsidRDefault="00C12333" w:rsidP="00C12333">
      <w:pPr>
        <w:pStyle w:val="Heading1"/>
        <w:shd w:val="clear" w:color="auto" w:fill="FFFFFF"/>
        <w:spacing w:before="0" w:line="360" w:lineRule="auto"/>
        <w:rPr>
          <w:rFonts w:cstheme="majorHAnsi"/>
          <w:b/>
          <w:bCs/>
          <w:color w:val="00241A"/>
          <w:sz w:val="28"/>
          <w:szCs w:val="28"/>
        </w:rPr>
      </w:pPr>
      <w:r w:rsidRPr="002F3C06">
        <w:rPr>
          <w:rFonts w:cstheme="majorHAnsi"/>
          <w:b/>
          <w:bCs/>
          <w:color w:val="00241A"/>
          <w:sz w:val="28"/>
          <w:szCs w:val="28"/>
        </w:rPr>
        <w:t xml:space="preserve">Submission to </w:t>
      </w:r>
      <w:r w:rsidR="002F3C06">
        <w:rPr>
          <w:rFonts w:cstheme="majorHAnsi"/>
          <w:b/>
          <w:bCs/>
          <w:color w:val="00241A"/>
          <w:sz w:val="28"/>
          <w:szCs w:val="28"/>
        </w:rPr>
        <w:t xml:space="preserve">the </w:t>
      </w:r>
      <w:r w:rsidR="00E95118" w:rsidRPr="002F3C06">
        <w:rPr>
          <w:rFonts w:cstheme="majorHAnsi"/>
          <w:b/>
          <w:bCs/>
          <w:color w:val="00241A"/>
          <w:sz w:val="28"/>
          <w:szCs w:val="28"/>
        </w:rPr>
        <w:t xml:space="preserve">Public </w:t>
      </w:r>
      <w:r w:rsidR="002D7DE6" w:rsidRPr="002F3C06">
        <w:rPr>
          <w:rFonts w:cstheme="majorHAnsi"/>
          <w:b/>
          <w:bCs/>
          <w:color w:val="00241A"/>
          <w:sz w:val="28"/>
          <w:szCs w:val="28"/>
        </w:rPr>
        <w:t>C</w:t>
      </w:r>
      <w:r w:rsidR="00E95118" w:rsidRPr="002F3C06">
        <w:rPr>
          <w:rFonts w:cstheme="majorHAnsi"/>
          <w:b/>
          <w:bCs/>
          <w:color w:val="00241A"/>
          <w:sz w:val="28"/>
          <w:szCs w:val="28"/>
        </w:rPr>
        <w:t>onsultation on a Referendum on Housing in Ireland</w:t>
      </w:r>
    </w:p>
    <w:p w14:paraId="2BD294FE" w14:textId="03CD8ED6" w:rsidR="003F2FA7" w:rsidRPr="00B81B52" w:rsidRDefault="00E95118" w:rsidP="00C12333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81B52">
        <w:rPr>
          <w:rFonts w:asciiTheme="majorHAnsi" w:hAnsiTheme="majorHAnsi" w:cstheme="majorHAnsi"/>
        </w:rPr>
        <w:t>There is a housing crisis in Ireland and the impact is being felt by communities, individuals, families and children across the whole country</w:t>
      </w:r>
      <w:r w:rsidR="003F2FA7" w:rsidRPr="00B81B52">
        <w:rPr>
          <w:rFonts w:asciiTheme="majorHAnsi" w:hAnsiTheme="majorHAnsi" w:cstheme="majorHAnsi"/>
        </w:rPr>
        <w:t xml:space="preserve">.  </w:t>
      </w:r>
      <w:r w:rsidR="00A641DC" w:rsidRPr="00B81B52">
        <w:rPr>
          <w:rFonts w:asciiTheme="majorHAnsi" w:hAnsiTheme="majorHAnsi" w:cstheme="majorHAnsi"/>
        </w:rPr>
        <w:t xml:space="preserve">Subsequent </w:t>
      </w:r>
      <w:r w:rsidR="00A641DC" w:rsidRPr="00B81B52">
        <w:rPr>
          <w:rFonts w:asciiTheme="majorHAnsi" w:hAnsiTheme="majorHAnsi" w:cstheme="majorHAnsi"/>
        </w:rPr>
        <w:t>governments</w:t>
      </w:r>
      <w:r w:rsidR="00A641DC" w:rsidRPr="00B81B52">
        <w:rPr>
          <w:rFonts w:asciiTheme="majorHAnsi" w:hAnsiTheme="majorHAnsi" w:cstheme="majorHAnsi"/>
        </w:rPr>
        <w:t xml:space="preserve"> have failed to tackle the </w:t>
      </w:r>
      <w:r w:rsidR="00A641DC" w:rsidRPr="00B81B52">
        <w:rPr>
          <w:rFonts w:asciiTheme="majorHAnsi" w:hAnsiTheme="majorHAnsi" w:cstheme="majorHAnsi"/>
        </w:rPr>
        <w:t>crisis</w:t>
      </w:r>
      <w:r w:rsidR="00A641DC" w:rsidRPr="00B81B52">
        <w:rPr>
          <w:rFonts w:asciiTheme="majorHAnsi" w:hAnsiTheme="majorHAnsi" w:cstheme="majorHAnsi"/>
        </w:rPr>
        <w:t xml:space="preserve"> and children continue to be subjected to the trauma of living in </w:t>
      </w:r>
      <w:r w:rsidR="00A641DC" w:rsidRPr="00B81B52">
        <w:rPr>
          <w:rFonts w:asciiTheme="majorHAnsi" w:hAnsiTheme="majorHAnsi" w:cstheme="majorHAnsi"/>
        </w:rPr>
        <w:t>homeless</w:t>
      </w:r>
      <w:r w:rsidR="00A641DC" w:rsidRPr="00B81B52">
        <w:rPr>
          <w:rFonts w:asciiTheme="majorHAnsi" w:hAnsiTheme="majorHAnsi" w:cstheme="majorHAnsi"/>
        </w:rPr>
        <w:t xml:space="preserve"> </w:t>
      </w:r>
      <w:r w:rsidR="00A641DC" w:rsidRPr="00B81B52">
        <w:rPr>
          <w:rFonts w:asciiTheme="majorHAnsi" w:hAnsiTheme="majorHAnsi" w:cstheme="majorHAnsi"/>
        </w:rPr>
        <w:t>accommodation</w:t>
      </w:r>
      <w:r w:rsidR="00A641DC" w:rsidRPr="00B81B52">
        <w:rPr>
          <w:rFonts w:asciiTheme="majorHAnsi" w:hAnsiTheme="majorHAnsi" w:cstheme="majorHAnsi"/>
        </w:rPr>
        <w:t xml:space="preserve"> </w:t>
      </w:r>
      <w:r w:rsidR="003F2FA7" w:rsidRPr="00B81B52">
        <w:rPr>
          <w:rFonts w:asciiTheme="majorHAnsi" w:hAnsiTheme="majorHAnsi" w:cstheme="majorHAnsi"/>
        </w:rPr>
        <w:t>with</w:t>
      </w:r>
      <w:r w:rsidR="00352AF4" w:rsidRPr="00B81B52">
        <w:rPr>
          <w:rFonts w:asciiTheme="majorHAnsi" w:hAnsiTheme="majorHAnsi" w:cstheme="majorHAnsi"/>
        </w:rPr>
        <w:t xml:space="preserve"> no place to call their own.   There will be no resolution to the housing crisis until </w:t>
      </w:r>
      <w:r w:rsidR="003F2FA7" w:rsidRPr="00B81B52">
        <w:rPr>
          <w:rFonts w:asciiTheme="majorHAnsi" w:hAnsiTheme="majorHAnsi" w:cstheme="majorHAnsi"/>
        </w:rPr>
        <w:t>we move away from seeing housing as an investment rather than a basi</w:t>
      </w:r>
      <w:r w:rsidR="003F34FD">
        <w:rPr>
          <w:rFonts w:asciiTheme="majorHAnsi" w:hAnsiTheme="majorHAnsi" w:cstheme="majorHAnsi"/>
        </w:rPr>
        <w:t>c</w:t>
      </w:r>
      <w:r w:rsidR="003F2FA7" w:rsidRPr="00B81B52">
        <w:rPr>
          <w:rFonts w:asciiTheme="majorHAnsi" w:hAnsiTheme="majorHAnsi" w:cstheme="majorHAnsi"/>
        </w:rPr>
        <w:t xml:space="preserve"> right.  </w:t>
      </w:r>
      <w:r w:rsidR="00526F17" w:rsidRPr="00B81B52">
        <w:rPr>
          <w:rFonts w:asciiTheme="majorHAnsi" w:hAnsiTheme="majorHAnsi" w:cstheme="majorHAnsi"/>
        </w:rPr>
        <w:t xml:space="preserve">We must </w:t>
      </w:r>
      <w:r w:rsidR="00A641DC" w:rsidRPr="00B81B52">
        <w:rPr>
          <w:rFonts w:asciiTheme="majorHAnsi" w:hAnsiTheme="majorHAnsi" w:cstheme="majorHAnsi"/>
        </w:rPr>
        <w:t>acknowledge that</w:t>
      </w:r>
      <w:r w:rsidR="00526F17" w:rsidRPr="00B81B52">
        <w:rPr>
          <w:rFonts w:asciiTheme="majorHAnsi" w:hAnsiTheme="majorHAnsi" w:cstheme="majorHAnsi"/>
        </w:rPr>
        <w:t xml:space="preserve"> a home is central to the dignity of every person</w:t>
      </w:r>
      <w:r w:rsidR="003F34FD">
        <w:rPr>
          <w:rFonts w:asciiTheme="majorHAnsi" w:hAnsiTheme="majorHAnsi" w:cstheme="majorHAnsi"/>
        </w:rPr>
        <w:t xml:space="preserve"> and that a</w:t>
      </w:r>
      <w:r w:rsidR="00B81B52" w:rsidRPr="00B81B52">
        <w:rPr>
          <w:rFonts w:asciiTheme="majorHAnsi" w:hAnsiTheme="majorHAnsi" w:cstheme="majorHAnsi"/>
        </w:rPr>
        <w:t>ccess to adequate housing is essential to balance the right to private property and the right to housing</w:t>
      </w:r>
      <w:r w:rsidR="003F34FD">
        <w:rPr>
          <w:rFonts w:asciiTheme="majorHAnsi" w:hAnsiTheme="majorHAnsi" w:cstheme="majorHAnsi"/>
        </w:rPr>
        <w:t xml:space="preserve">. </w:t>
      </w:r>
    </w:p>
    <w:p w14:paraId="3941B44A" w14:textId="46E83BE7" w:rsidR="00B81B52" w:rsidRPr="00B81B52" w:rsidRDefault="00B81B52" w:rsidP="00B81B52">
      <w:pPr>
        <w:rPr>
          <w:rFonts w:asciiTheme="majorHAnsi" w:hAnsiTheme="majorHAnsi" w:cstheme="majorHAnsi"/>
        </w:rPr>
      </w:pPr>
      <w:r w:rsidRPr="00B81B52">
        <w:rPr>
          <w:rFonts w:asciiTheme="majorHAnsi" w:hAnsiTheme="majorHAnsi" w:cstheme="majorHAnsi"/>
        </w:rPr>
        <w:t>We support The UN’s definition of adequate housing which includes</w:t>
      </w:r>
      <w:r>
        <w:rPr>
          <w:rFonts w:asciiTheme="majorHAnsi" w:hAnsiTheme="majorHAnsi" w:cstheme="majorHAnsi"/>
        </w:rPr>
        <w:t>:</w:t>
      </w:r>
    </w:p>
    <w:p w14:paraId="28AE5A92" w14:textId="77777777" w:rsidR="00B81B52" w:rsidRPr="00B81B52" w:rsidRDefault="00B81B52" w:rsidP="00B81B52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81B52">
        <w:rPr>
          <w:rFonts w:asciiTheme="majorHAnsi" w:hAnsiTheme="majorHAnsi" w:cstheme="majorHAnsi"/>
        </w:rPr>
        <w:t xml:space="preserve">Legal security of tenure </w:t>
      </w:r>
    </w:p>
    <w:p w14:paraId="43D55041" w14:textId="77777777" w:rsidR="00B81B52" w:rsidRPr="00B81B52" w:rsidRDefault="00B81B52" w:rsidP="00B81B52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81B52">
        <w:rPr>
          <w:rFonts w:asciiTheme="majorHAnsi" w:hAnsiTheme="majorHAnsi" w:cstheme="majorHAnsi"/>
        </w:rPr>
        <w:t>Availability of services, materials and infrastructure</w:t>
      </w:r>
    </w:p>
    <w:p w14:paraId="6974B6CF" w14:textId="77777777" w:rsidR="00B81B52" w:rsidRPr="00B81B52" w:rsidRDefault="00B81B52" w:rsidP="00B81B52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81B52">
        <w:rPr>
          <w:rFonts w:asciiTheme="majorHAnsi" w:hAnsiTheme="majorHAnsi" w:cstheme="majorHAnsi"/>
        </w:rPr>
        <w:t>Affordable housing</w:t>
      </w:r>
    </w:p>
    <w:p w14:paraId="3D96244D" w14:textId="77777777" w:rsidR="00B81B52" w:rsidRPr="00B81B52" w:rsidRDefault="00B81B52" w:rsidP="00B81B52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81B52">
        <w:rPr>
          <w:rFonts w:asciiTheme="majorHAnsi" w:hAnsiTheme="majorHAnsi" w:cstheme="majorHAnsi"/>
        </w:rPr>
        <w:t xml:space="preserve">Habitable housing </w:t>
      </w:r>
    </w:p>
    <w:p w14:paraId="43FB768A" w14:textId="77777777" w:rsidR="00B81B52" w:rsidRPr="00B81B52" w:rsidRDefault="00B81B52" w:rsidP="00B81B52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81B52">
        <w:rPr>
          <w:rFonts w:asciiTheme="majorHAnsi" w:hAnsiTheme="majorHAnsi" w:cstheme="majorHAnsi"/>
        </w:rPr>
        <w:t>Accessible housing</w:t>
      </w:r>
    </w:p>
    <w:p w14:paraId="20FF5A6F" w14:textId="77777777" w:rsidR="00B81B52" w:rsidRPr="00B81B52" w:rsidRDefault="00B81B52" w:rsidP="00B81B52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81B52">
        <w:rPr>
          <w:rFonts w:asciiTheme="majorHAnsi" w:hAnsiTheme="majorHAnsi" w:cstheme="majorHAnsi"/>
        </w:rPr>
        <w:t>Location</w:t>
      </w:r>
    </w:p>
    <w:p w14:paraId="00E055A1" w14:textId="6C39F67A" w:rsidR="00B81B52" w:rsidRPr="00B81B52" w:rsidRDefault="00B81B52" w:rsidP="00B81B52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81B52">
        <w:rPr>
          <w:rFonts w:asciiTheme="majorHAnsi" w:hAnsiTheme="majorHAnsi" w:cstheme="majorHAnsi"/>
        </w:rPr>
        <w:t>Culturally adequate housing</w:t>
      </w:r>
    </w:p>
    <w:p w14:paraId="5D4373F3" w14:textId="652912D4" w:rsidR="003F2FA7" w:rsidRPr="00B81B52" w:rsidRDefault="003F2FA7" w:rsidP="00B81B52">
      <w:pPr>
        <w:jc w:val="both"/>
        <w:rPr>
          <w:rFonts w:asciiTheme="majorHAnsi" w:hAnsiTheme="majorHAnsi" w:cstheme="majorHAnsi"/>
        </w:rPr>
      </w:pPr>
      <w:r w:rsidRPr="00B81B52">
        <w:rPr>
          <w:rFonts w:asciiTheme="majorHAnsi" w:hAnsiTheme="majorHAnsi" w:cstheme="majorHAnsi"/>
        </w:rPr>
        <w:t>We propose the following</w:t>
      </w:r>
      <w:r w:rsidR="00A41576">
        <w:rPr>
          <w:rFonts w:asciiTheme="majorHAnsi" w:hAnsiTheme="majorHAnsi" w:cstheme="majorHAnsi"/>
        </w:rPr>
        <w:t xml:space="preserve"> to the Housing Commission: </w:t>
      </w:r>
    </w:p>
    <w:p w14:paraId="42539D15" w14:textId="77777777" w:rsidR="0091442D" w:rsidRPr="00B81B52" w:rsidRDefault="00E95118" w:rsidP="00C12333">
      <w:pPr>
        <w:pStyle w:val="ListParagraph"/>
        <w:numPr>
          <w:ilvl w:val="0"/>
          <w:numId w:val="4"/>
        </w:numPr>
        <w:jc w:val="both"/>
        <w:rPr>
          <w:rStyle w:val="A4"/>
          <w:rFonts w:asciiTheme="majorHAnsi" w:hAnsiTheme="majorHAnsi" w:cstheme="majorHAnsi"/>
          <w:i w:val="0"/>
          <w:iCs w:val="0"/>
          <w:color w:val="auto"/>
          <w:sz w:val="22"/>
          <w:szCs w:val="22"/>
        </w:rPr>
      </w:pPr>
      <w:r w:rsidRPr="00B81B52">
        <w:rPr>
          <w:rStyle w:val="A4"/>
          <w:rFonts w:asciiTheme="majorHAnsi" w:hAnsiTheme="majorHAnsi" w:cstheme="majorHAnsi"/>
          <w:i w:val="0"/>
          <w:iCs w:val="0"/>
          <w:color w:val="auto"/>
          <w:sz w:val="22"/>
          <w:szCs w:val="22"/>
        </w:rPr>
        <w:t>that the Constitution be amended to make it clear that access to adequate, secure and affordable housing is essential</w:t>
      </w:r>
      <w:r w:rsidR="0091442D" w:rsidRPr="00B81B52">
        <w:rPr>
          <w:rStyle w:val="A4"/>
          <w:rFonts w:asciiTheme="majorHAnsi" w:hAnsiTheme="majorHAnsi" w:cstheme="majorHAnsi"/>
          <w:i w:val="0"/>
          <w:iCs w:val="0"/>
          <w:color w:val="auto"/>
          <w:sz w:val="22"/>
          <w:szCs w:val="22"/>
        </w:rPr>
        <w:t>.</w:t>
      </w:r>
      <w:r w:rsidRPr="00B81B52">
        <w:rPr>
          <w:rStyle w:val="A4"/>
          <w:rFonts w:asciiTheme="majorHAnsi" w:hAnsiTheme="majorHAnsi" w:cstheme="majorHAnsi"/>
          <w:i w:val="0"/>
          <w:iCs w:val="0"/>
          <w:color w:val="auto"/>
          <w:sz w:val="22"/>
          <w:szCs w:val="22"/>
        </w:rPr>
        <w:t xml:space="preserve"> </w:t>
      </w:r>
    </w:p>
    <w:p w14:paraId="4175641C" w14:textId="01864AD2" w:rsidR="0091442D" w:rsidRPr="00B81B52" w:rsidRDefault="00526F17" w:rsidP="00C12333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B81B52">
        <w:rPr>
          <w:rFonts w:asciiTheme="majorHAnsi" w:hAnsiTheme="majorHAnsi" w:cstheme="majorHAnsi"/>
        </w:rPr>
        <w:t>that a referendum is called as soon as is practical after the Commission publishes its report</w:t>
      </w:r>
      <w:r w:rsidR="00A41576">
        <w:rPr>
          <w:rFonts w:asciiTheme="majorHAnsi" w:hAnsiTheme="majorHAnsi" w:cstheme="majorHAnsi"/>
        </w:rPr>
        <w:t>.</w:t>
      </w:r>
    </w:p>
    <w:p w14:paraId="7DD9B27F" w14:textId="17F1060D" w:rsidR="00526F17" w:rsidRPr="00B81B52" w:rsidRDefault="00526F17" w:rsidP="00C12333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B81B52">
        <w:rPr>
          <w:rFonts w:asciiTheme="majorHAnsi" w:hAnsiTheme="majorHAnsi" w:cstheme="majorHAnsi"/>
        </w:rPr>
        <w:t>that the Commission in its report will include a proposal for the wording for a referendum on the right to housing</w:t>
      </w:r>
      <w:r w:rsidR="00A41576">
        <w:rPr>
          <w:rFonts w:asciiTheme="majorHAnsi" w:hAnsiTheme="majorHAnsi" w:cstheme="majorHAnsi"/>
        </w:rPr>
        <w:t>.</w:t>
      </w:r>
    </w:p>
    <w:p w14:paraId="74C70BEE" w14:textId="6C7F400A" w:rsidR="002D7DE6" w:rsidRPr="00B81B52" w:rsidRDefault="0091442D" w:rsidP="00C12333">
      <w:pPr>
        <w:jc w:val="both"/>
        <w:rPr>
          <w:rFonts w:asciiTheme="majorHAnsi" w:hAnsiTheme="majorHAnsi" w:cstheme="majorHAnsi"/>
        </w:rPr>
      </w:pPr>
      <w:r w:rsidRPr="00B81B52">
        <w:rPr>
          <w:rFonts w:asciiTheme="majorHAnsi" w:hAnsiTheme="majorHAnsi" w:cstheme="majorHAnsi"/>
        </w:rPr>
        <w:t xml:space="preserve">We support the proposed wording for an amendment to the Constitution as put forward by Home of Good (group </w:t>
      </w:r>
      <w:r w:rsidR="00526F17" w:rsidRPr="00B81B52">
        <w:rPr>
          <w:rFonts w:asciiTheme="majorHAnsi" w:hAnsiTheme="majorHAnsi" w:cstheme="majorHAnsi"/>
        </w:rPr>
        <w:t>comprised of academic, legal, housing, and homelessness expert</w:t>
      </w:r>
      <w:r w:rsidR="00C12333">
        <w:rPr>
          <w:rFonts w:asciiTheme="majorHAnsi" w:hAnsiTheme="majorHAnsi" w:cstheme="majorHAnsi"/>
        </w:rPr>
        <w:t>s</w:t>
      </w:r>
      <w:r w:rsidRPr="00B81B52">
        <w:rPr>
          <w:rFonts w:asciiTheme="majorHAnsi" w:hAnsiTheme="majorHAnsi" w:cstheme="majorHAnsi"/>
        </w:rPr>
        <w:t>)</w:t>
      </w:r>
      <w:r w:rsidR="00526F17" w:rsidRPr="00B81B52">
        <w:rPr>
          <w:rFonts w:asciiTheme="majorHAnsi" w:hAnsiTheme="majorHAnsi" w:cstheme="majorHAnsi"/>
        </w:rPr>
        <w:t xml:space="preserve"> </w:t>
      </w:r>
    </w:p>
    <w:p w14:paraId="09A9C87C" w14:textId="77777777" w:rsidR="002D7DE6" w:rsidRPr="00C12333" w:rsidRDefault="00526F17" w:rsidP="00C12333">
      <w:pPr>
        <w:jc w:val="both"/>
        <w:rPr>
          <w:rFonts w:asciiTheme="majorHAnsi" w:hAnsiTheme="majorHAnsi" w:cstheme="majorHAnsi"/>
          <w:b/>
          <w:bCs/>
        </w:rPr>
      </w:pPr>
      <w:r w:rsidRPr="00C12333">
        <w:rPr>
          <w:rFonts w:asciiTheme="majorHAnsi" w:hAnsiTheme="majorHAnsi" w:cstheme="majorHAnsi"/>
          <w:b/>
          <w:bCs/>
        </w:rPr>
        <w:t xml:space="preserve">Recommendation:  The insertion of a new Article 43A on Housing in the Constitution as follows:  </w:t>
      </w:r>
    </w:p>
    <w:p w14:paraId="3FA884C6" w14:textId="27176741" w:rsidR="002D7DE6" w:rsidRPr="00C12333" w:rsidRDefault="0091442D" w:rsidP="00C12333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b/>
          <w:bCs/>
          <w:i/>
          <w:iCs/>
        </w:rPr>
      </w:pPr>
      <w:r w:rsidRPr="00C12333">
        <w:rPr>
          <w:rFonts w:asciiTheme="majorHAnsi" w:hAnsiTheme="majorHAnsi" w:cstheme="majorHAnsi"/>
          <w:b/>
          <w:bCs/>
          <w:i/>
          <w:iCs/>
        </w:rPr>
        <w:t>Housing Article</w:t>
      </w:r>
      <w:r w:rsidR="00526F17" w:rsidRPr="00C12333">
        <w:rPr>
          <w:rFonts w:asciiTheme="majorHAnsi" w:hAnsiTheme="majorHAnsi" w:cstheme="majorHAnsi"/>
          <w:b/>
          <w:bCs/>
          <w:i/>
          <w:iCs/>
        </w:rPr>
        <w:t xml:space="preserve"> 43A  </w:t>
      </w:r>
    </w:p>
    <w:p w14:paraId="272D2E20" w14:textId="3E4B0469" w:rsidR="002D7DE6" w:rsidRPr="00C12333" w:rsidRDefault="00526F17" w:rsidP="00C12333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b/>
          <w:bCs/>
          <w:i/>
          <w:iCs/>
        </w:rPr>
      </w:pPr>
      <w:r w:rsidRPr="00C12333">
        <w:rPr>
          <w:rFonts w:asciiTheme="majorHAnsi" w:hAnsiTheme="majorHAnsi" w:cstheme="majorHAnsi"/>
          <w:b/>
          <w:bCs/>
          <w:i/>
          <w:iCs/>
        </w:rPr>
        <w:t xml:space="preserve"> The State recognises, and shall vindicate, the right of all persons to have access to adequate housing. </w:t>
      </w:r>
    </w:p>
    <w:p w14:paraId="79786F52" w14:textId="77777777" w:rsidR="002D7DE6" w:rsidRPr="00C12333" w:rsidRDefault="002D7DE6" w:rsidP="00C12333">
      <w:pPr>
        <w:pStyle w:val="ListParagraph"/>
        <w:jc w:val="both"/>
        <w:rPr>
          <w:rFonts w:asciiTheme="majorHAnsi" w:hAnsiTheme="majorHAnsi" w:cstheme="majorHAnsi"/>
          <w:b/>
          <w:bCs/>
          <w:i/>
          <w:iCs/>
        </w:rPr>
      </w:pPr>
    </w:p>
    <w:p w14:paraId="3CC666EF" w14:textId="778B9211" w:rsidR="002D7DE6" w:rsidRPr="00C12333" w:rsidRDefault="00526F17" w:rsidP="00C12333">
      <w:pPr>
        <w:pStyle w:val="ListParagraph"/>
        <w:numPr>
          <w:ilvl w:val="0"/>
          <w:numId w:val="5"/>
        </w:numPr>
        <w:jc w:val="both"/>
        <w:rPr>
          <w:rFonts w:asciiTheme="majorHAnsi" w:hAnsiTheme="majorHAnsi" w:cstheme="majorHAnsi"/>
          <w:b/>
          <w:bCs/>
          <w:i/>
          <w:iCs/>
        </w:rPr>
      </w:pPr>
      <w:r w:rsidRPr="00C12333">
        <w:rPr>
          <w:rFonts w:asciiTheme="majorHAnsi" w:hAnsiTheme="majorHAnsi" w:cstheme="majorHAnsi"/>
          <w:b/>
          <w:bCs/>
          <w:i/>
          <w:iCs/>
        </w:rPr>
        <w:t xml:space="preserve"> The State shall, through legislative and other measures, provide for the realisation of this right within its available resources. </w:t>
      </w:r>
    </w:p>
    <w:p w14:paraId="01AB11D8" w14:textId="77777777" w:rsidR="002D7DE6" w:rsidRPr="003F2FA7" w:rsidRDefault="002D7DE6" w:rsidP="002D7DE6">
      <w:pPr>
        <w:pStyle w:val="ListParagraph"/>
        <w:rPr>
          <w:rFonts w:asciiTheme="majorHAnsi" w:hAnsiTheme="majorHAnsi" w:cstheme="majorHAnsi"/>
          <w:i/>
          <w:iCs/>
          <w:sz w:val="24"/>
          <w:szCs w:val="24"/>
        </w:rPr>
      </w:pPr>
    </w:p>
    <w:p w14:paraId="11A1D740" w14:textId="2B955EC1" w:rsidR="00C12333" w:rsidRPr="003F34FD" w:rsidRDefault="00C12333" w:rsidP="00C12333">
      <w:pPr>
        <w:rPr>
          <w:rFonts w:asciiTheme="majorHAnsi" w:hAnsiTheme="majorHAnsi" w:cstheme="majorHAnsi"/>
          <w:lang w:val="en-US"/>
        </w:rPr>
      </w:pPr>
      <w:r w:rsidRPr="003F34FD">
        <w:rPr>
          <w:rFonts w:asciiTheme="majorHAnsi" w:hAnsiTheme="majorHAnsi" w:cstheme="majorHAnsi"/>
        </w:rPr>
        <w:t xml:space="preserve">We believe that these actions will be a first step in </w:t>
      </w:r>
      <w:r w:rsidRPr="00C12333">
        <w:rPr>
          <w:rFonts w:asciiTheme="majorHAnsi" w:hAnsiTheme="majorHAnsi" w:cstheme="majorHAnsi"/>
          <w:lang w:val="en-US"/>
        </w:rPr>
        <w:t>ensuring everyone has access to adequate housing</w:t>
      </w:r>
      <w:r w:rsidRPr="003F34FD">
        <w:rPr>
          <w:rFonts w:asciiTheme="majorHAnsi" w:hAnsiTheme="majorHAnsi" w:cstheme="majorHAnsi"/>
          <w:lang w:val="en-US"/>
        </w:rPr>
        <w:t>.</w:t>
      </w:r>
    </w:p>
    <w:p w14:paraId="1C60E1D7" w14:textId="4BC4B2C5" w:rsidR="00C12333" w:rsidRDefault="00C12333" w:rsidP="00C12333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4DBFF0BD" w14:textId="737046BC" w:rsidR="00C12333" w:rsidRPr="00C12333" w:rsidRDefault="00C12333" w:rsidP="00C12333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C12333">
        <w:rPr>
          <w:rFonts w:asciiTheme="majorHAnsi" w:hAnsiTheme="majorHAnsi" w:cstheme="majorHAnsi"/>
          <w:b/>
          <w:bCs/>
          <w:sz w:val="24"/>
          <w:szCs w:val="24"/>
          <w:lang w:val="en-US"/>
        </w:rPr>
        <w:t>NAME</w:t>
      </w:r>
    </w:p>
    <w:p w14:paraId="35568EF6" w14:textId="3C07EF7A" w:rsidR="00C12333" w:rsidRPr="00C12333" w:rsidRDefault="00C12333" w:rsidP="00C12333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C12333">
        <w:rPr>
          <w:rFonts w:asciiTheme="majorHAnsi" w:hAnsiTheme="majorHAnsi" w:cstheme="majorHAnsi"/>
          <w:b/>
          <w:bCs/>
          <w:sz w:val="24"/>
          <w:szCs w:val="24"/>
          <w:lang w:val="en-US"/>
        </w:rPr>
        <w:t>ORGANISATION</w:t>
      </w:r>
    </w:p>
    <w:p w14:paraId="550D15B1" w14:textId="01719836" w:rsidR="00C12333" w:rsidRPr="00C12333" w:rsidRDefault="00C12333" w:rsidP="00E9511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C12333">
        <w:rPr>
          <w:rFonts w:asciiTheme="majorHAnsi" w:hAnsiTheme="majorHAnsi" w:cstheme="majorHAnsi"/>
          <w:b/>
          <w:bCs/>
          <w:sz w:val="24"/>
          <w:szCs w:val="24"/>
          <w:lang w:val="en-US"/>
        </w:rPr>
        <w:t>CONTACT DETAILS</w:t>
      </w:r>
    </w:p>
    <w:sectPr w:rsidR="00C12333" w:rsidRPr="00C12333" w:rsidSect="00BB6C8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3C41"/>
    <w:multiLevelType w:val="hybridMultilevel"/>
    <w:tmpl w:val="E2B27212"/>
    <w:lvl w:ilvl="0" w:tplc="BE9C178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6495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A1D8A"/>
    <w:multiLevelType w:val="hybridMultilevel"/>
    <w:tmpl w:val="BA109C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0457"/>
    <w:multiLevelType w:val="hybridMultilevel"/>
    <w:tmpl w:val="208E620C"/>
    <w:lvl w:ilvl="0" w:tplc="1EE6D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528FC"/>
    <w:multiLevelType w:val="hybridMultilevel"/>
    <w:tmpl w:val="C1D239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06113"/>
    <w:multiLevelType w:val="hybridMultilevel"/>
    <w:tmpl w:val="170687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C3712"/>
    <w:multiLevelType w:val="hybridMultilevel"/>
    <w:tmpl w:val="E1AC0374"/>
    <w:lvl w:ilvl="0" w:tplc="BE9C1786">
      <w:start w:val="2"/>
      <w:numFmt w:val="bullet"/>
      <w:lvlText w:val="-"/>
      <w:lvlJc w:val="left"/>
      <w:pPr>
        <w:ind w:left="780" w:hanging="360"/>
      </w:pPr>
      <w:rPr>
        <w:rFonts w:ascii="Calibri Light" w:eastAsiaTheme="minorHAnsi" w:hAnsi="Calibri Light" w:cs="Calibri Light" w:hint="default"/>
        <w:color w:val="006495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6FC770F"/>
    <w:multiLevelType w:val="hybridMultilevel"/>
    <w:tmpl w:val="BE26489C"/>
    <w:lvl w:ilvl="0" w:tplc="E15C3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C0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8B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8C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68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8C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283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E0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8F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3359193">
    <w:abstractNumId w:val="4"/>
  </w:num>
  <w:num w:numId="2" w16cid:durableId="1255092564">
    <w:abstractNumId w:val="1"/>
  </w:num>
  <w:num w:numId="3" w16cid:durableId="909655161">
    <w:abstractNumId w:val="3"/>
  </w:num>
  <w:num w:numId="4" w16cid:durableId="2036222832">
    <w:abstractNumId w:val="0"/>
  </w:num>
  <w:num w:numId="5" w16cid:durableId="1922181039">
    <w:abstractNumId w:val="2"/>
  </w:num>
  <w:num w:numId="6" w16cid:durableId="431048254">
    <w:abstractNumId w:val="5"/>
  </w:num>
  <w:num w:numId="7" w16cid:durableId="1756438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18"/>
    <w:rsid w:val="002D7DE6"/>
    <w:rsid w:val="002F3C06"/>
    <w:rsid w:val="00352AF4"/>
    <w:rsid w:val="003F2FA7"/>
    <w:rsid w:val="003F34FD"/>
    <w:rsid w:val="00526F17"/>
    <w:rsid w:val="00790D78"/>
    <w:rsid w:val="0085129A"/>
    <w:rsid w:val="008C7A00"/>
    <w:rsid w:val="0091442D"/>
    <w:rsid w:val="00A41576"/>
    <w:rsid w:val="00A641DC"/>
    <w:rsid w:val="00B81B52"/>
    <w:rsid w:val="00BB6C85"/>
    <w:rsid w:val="00C12333"/>
    <w:rsid w:val="00E9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D15BC"/>
  <w15:chartTrackingRefBased/>
  <w15:docId w15:val="{9C878329-51D2-4751-B55F-63C7B220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1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4">
    <w:name w:val="A4"/>
    <w:uiPriority w:val="99"/>
    <w:rsid w:val="00E95118"/>
    <w:rPr>
      <w:rFonts w:cs="Roboto Medium"/>
      <w:i/>
      <w:iCs/>
      <w:color w:val="006495"/>
      <w:sz w:val="28"/>
      <w:szCs w:val="28"/>
    </w:rPr>
  </w:style>
  <w:style w:type="character" w:customStyle="1" w:styleId="A5">
    <w:name w:val="A5"/>
    <w:uiPriority w:val="99"/>
    <w:rsid w:val="00E95118"/>
    <w:rPr>
      <w:rFonts w:cs="Roboto Light"/>
      <w:color w:val="221E1F"/>
      <w:sz w:val="20"/>
      <w:szCs w:val="20"/>
    </w:rPr>
  </w:style>
  <w:style w:type="paragraph" w:customStyle="1" w:styleId="Default">
    <w:name w:val="Default"/>
    <w:rsid w:val="00E951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2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1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Inner City Organisations Network</dc:creator>
  <cp:keywords/>
  <dc:description/>
  <cp:lastModifiedBy>Inner City Organisations Network</cp:lastModifiedBy>
  <cp:revision>5</cp:revision>
  <cp:lastPrinted>2022-08-24T13:38:00Z</cp:lastPrinted>
  <dcterms:created xsi:type="dcterms:W3CDTF">2022-08-24T09:23:00Z</dcterms:created>
  <dcterms:modified xsi:type="dcterms:W3CDTF">2022-08-24T15:06:00Z</dcterms:modified>
</cp:coreProperties>
</file>